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590D">
      <w:pPr>
        <w:spacing w:line="560" w:lineRule="exact"/>
        <w:jc w:val="left"/>
        <w:rPr>
          <w:rFonts w:ascii="方正黑体_GBK" w:hAnsi="方正黑体_GBK" w:eastAsia="方正黑体_GBK" w:cs="方正黑体_GBK"/>
          <w:b/>
          <w:bCs/>
          <w:w w:val="90"/>
          <w:sz w:val="32"/>
          <w:szCs w:val="32"/>
        </w:rPr>
      </w:pPr>
    </w:p>
    <w:p w14:paraId="2469F171">
      <w:pPr>
        <w:jc w:val="center"/>
        <w:rPr>
          <w:rFonts w:asciiTheme="majorEastAsia" w:hAnsiTheme="majorEastAsia" w:eastAsiaTheme="majorEastAsia"/>
          <w:b/>
          <w:sz w:val="36"/>
          <w:szCs w:val="32"/>
        </w:rPr>
      </w:pPr>
    </w:p>
    <w:p w14:paraId="72384AB0">
      <w:pPr>
        <w:jc w:val="center"/>
        <w:rPr>
          <w:rFonts w:asciiTheme="majorEastAsia" w:hAnsiTheme="majorEastAsia" w:eastAsiaTheme="majorEastAsia"/>
          <w:b/>
          <w:sz w:val="36"/>
          <w:szCs w:val="32"/>
        </w:rPr>
      </w:pPr>
    </w:p>
    <w:p w14:paraId="77FD4174">
      <w:pPr>
        <w:jc w:val="center"/>
        <w:rPr>
          <w:rFonts w:asciiTheme="majorEastAsia" w:hAnsiTheme="majorEastAsia" w:eastAsiaTheme="majorEastAsia"/>
          <w:b/>
          <w:sz w:val="36"/>
          <w:szCs w:val="32"/>
        </w:rPr>
      </w:pPr>
    </w:p>
    <w:p w14:paraId="5B2E1435">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早产儿生命历程健康发展新模式研究项目</w:t>
      </w:r>
    </w:p>
    <w:p w14:paraId="061C3714">
      <w:pPr>
        <w:jc w:val="center"/>
        <w:rPr>
          <w:rFonts w:ascii="黑体" w:hAnsi="黑体" w:eastAsia="黑体"/>
          <w:sz w:val="96"/>
          <w:szCs w:val="32"/>
        </w:rPr>
      </w:pPr>
    </w:p>
    <w:p w14:paraId="198E2D01">
      <w:pPr>
        <w:jc w:val="center"/>
        <w:rPr>
          <w:rFonts w:ascii="黑体" w:hAnsi="黑体" w:eastAsia="黑体"/>
          <w:sz w:val="48"/>
          <w:szCs w:val="48"/>
        </w:rPr>
      </w:pPr>
      <w:r>
        <w:rPr>
          <w:rFonts w:hint="eastAsia" w:ascii="黑体" w:hAnsi="黑体" w:eastAsia="黑体"/>
          <w:sz w:val="48"/>
          <w:szCs w:val="48"/>
        </w:rPr>
        <w:t>说</w:t>
      </w:r>
    </w:p>
    <w:p w14:paraId="042440E6">
      <w:pPr>
        <w:jc w:val="center"/>
        <w:rPr>
          <w:rFonts w:ascii="黑体" w:hAnsi="黑体" w:eastAsia="黑体"/>
          <w:sz w:val="48"/>
          <w:szCs w:val="48"/>
        </w:rPr>
      </w:pPr>
    </w:p>
    <w:p w14:paraId="069FCBBC">
      <w:pPr>
        <w:jc w:val="center"/>
        <w:rPr>
          <w:rFonts w:ascii="黑体" w:hAnsi="黑体" w:eastAsia="黑体"/>
          <w:sz w:val="48"/>
          <w:szCs w:val="48"/>
        </w:rPr>
      </w:pPr>
      <w:r>
        <w:rPr>
          <w:rFonts w:hint="eastAsia" w:ascii="黑体" w:hAnsi="黑体" w:eastAsia="黑体"/>
          <w:sz w:val="48"/>
          <w:szCs w:val="48"/>
        </w:rPr>
        <w:t>明</w:t>
      </w:r>
    </w:p>
    <w:p w14:paraId="04EE9A32">
      <w:pPr>
        <w:jc w:val="center"/>
        <w:rPr>
          <w:rFonts w:ascii="黑体" w:hAnsi="黑体" w:eastAsia="黑体"/>
          <w:sz w:val="48"/>
          <w:szCs w:val="48"/>
        </w:rPr>
      </w:pPr>
    </w:p>
    <w:p w14:paraId="48329102">
      <w:pPr>
        <w:jc w:val="center"/>
        <w:rPr>
          <w:rFonts w:ascii="黑体" w:hAnsi="黑体" w:eastAsia="黑体"/>
          <w:sz w:val="48"/>
          <w:szCs w:val="48"/>
        </w:rPr>
      </w:pPr>
      <w:r>
        <w:rPr>
          <w:rFonts w:hint="eastAsia" w:ascii="黑体" w:hAnsi="黑体" w:eastAsia="黑体"/>
          <w:sz w:val="48"/>
          <w:szCs w:val="48"/>
        </w:rPr>
        <w:t>书</w:t>
      </w:r>
    </w:p>
    <w:p w14:paraId="2C3DCF4D">
      <w:pPr>
        <w:jc w:val="center"/>
        <w:rPr>
          <w:rFonts w:asciiTheme="minorEastAsia" w:hAnsiTheme="minorEastAsia"/>
          <w:sz w:val="32"/>
          <w:szCs w:val="32"/>
        </w:rPr>
      </w:pPr>
    </w:p>
    <w:p w14:paraId="6D0B1037">
      <w:pPr>
        <w:jc w:val="center"/>
        <w:rPr>
          <w:rFonts w:asciiTheme="minorEastAsia" w:hAnsiTheme="minorEastAsia"/>
          <w:sz w:val="32"/>
          <w:szCs w:val="32"/>
        </w:rPr>
      </w:pPr>
    </w:p>
    <w:p w14:paraId="67F8F0D4">
      <w:pPr>
        <w:jc w:val="center"/>
        <w:rPr>
          <w:rFonts w:asciiTheme="minorEastAsia" w:hAnsiTheme="minorEastAsia"/>
          <w:sz w:val="32"/>
          <w:szCs w:val="32"/>
        </w:rPr>
      </w:pPr>
      <w:r>
        <w:rPr>
          <w:rFonts w:hint="eastAsia" w:asciiTheme="minorEastAsia" w:hAnsiTheme="minorEastAsia"/>
          <w:sz w:val="32"/>
          <w:szCs w:val="32"/>
        </w:rPr>
        <w:t>中国优生科学协会</w:t>
      </w:r>
    </w:p>
    <w:p w14:paraId="3D54AAA0">
      <w:pPr>
        <w:jc w:val="center"/>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32"/>
          <w:szCs w:val="32"/>
        </w:rPr>
        <w:t>2025年1月</w:t>
      </w:r>
    </w:p>
    <w:p w14:paraId="30445442">
      <w:pPr>
        <w:jc w:val="center"/>
      </w:pPr>
    </w:p>
    <w:p w14:paraId="25169EEB">
      <w:pPr>
        <w:adjustRightInd w:val="0"/>
        <w:snapToGrid w:val="0"/>
        <w:jc w:val="center"/>
        <w:rPr>
          <w:rFonts w:ascii="宋体" w:hAnsi="宋体" w:cs="Arial"/>
          <w:b/>
          <w:bCs/>
          <w:sz w:val="44"/>
          <w:szCs w:val="44"/>
        </w:rPr>
      </w:pPr>
      <w:r>
        <w:rPr>
          <w:rFonts w:hint="eastAsia" w:ascii="宋体" w:hAnsi="宋体" w:cs="Arial"/>
          <w:b/>
          <w:bCs/>
          <w:sz w:val="44"/>
          <w:szCs w:val="44"/>
        </w:rPr>
        <w:t>早产儿生命历程健康发展新模式研究</w:t>
      </w:r>
    </w:p>
    <w:p w14:paraId="231F39F8">
      <w:pPr>
        <w:adjustRightInd w:val="0"/>
        <w:snapToGrid w:val="0"/>
        <w:jc w:val="center"/>
        <w:rPr>
          <w:rFonts w:ascii="宋体" w:hAnsi="宋体" w:cs="Arial"/>
          <w:b/>
          <w:bCs/>
          <w:sz w:val="44"/>
          <w:szCs w:val="44"/>
        </w:rPr>
      </w:pPr>
      <w:r>
        <w:rPr>
          <w:rFonts w:hint="eastAsia" w:ascii="宋体" w:hAnsi="宋体" w:cs="Arial"/>
          <w:b/>
          <w:bCs/>
          <w:sz w:val="44"/>
          <w:szCs w:val="44"/>
        </w:rPr>
        <w:t>项目说明书</w:t>
      </w:r>
    </w:p>
    <w:p w14:paraId="0D178698">
      <w:pPr>
        <w:spacing w:line="560" w:lineRule="exact"/>
        <w:ind w:firstLine="643" w:firstLineChars="200"/>
        <w:outlineLvl w:val="0"/>
        <w:rPr>
          <w:rFonts w:ascii="黑体" w:hAnsi="黑体" w:eastAsia="黑体"/>
          <w:b/>
          <w:bCs/>
          <w:sz w:val="32"/>
          <w:szCs w:val="32"/>
        </w:rPr>
      </w:pPr>
    </w:p>
    <w:p w14:paraId="164C4516">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一、项目概况</w:t>
      </w:r>
    </w:p>
    <w:p w14:paraId="1765968F">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（一）项目名称：早产儿生命历程健康发展新模式研究。</w:t>
      </w:r>
    </w:p>
    <w:p w14:paraId="6A15F894">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（二）项目目的：研究构建围绕早产儿从NICU住院阶段到院外随访的全生命周期健康管理新模式，验证该模式 提升早产儿的长期健康结局的可行性。</w:t>
      </w:r>
    </w:p>
    <w:p w14:paraId="00913966">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（三）服务期限：自合同签订之日起3年6个月。</w:t>
      </w:r>
    </w:p>
    <w:p w14:paraId="398ABC1F">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（四）项目预算：预算金额30万元。</w:t>
      </w:r>
    </w:p>
    <w:p w14:paraId="4FFEE5A2">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二、项目内容</w:t>
      </w:r>
    </w:p>
    <w:p w14:paraId="1A4FBD4E">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本研究结合《中国儿童发展纲要（2021-2030年）》及《早产儿保健工作规范》的精神，围绕早产儿从NICU住院阶段到出院后随访的全生命周期健康管理，构建一种创新型的、全生命周期早期阶段的、家庭深度参与的早产儿共同照护管理模式，以期全面提升早产儿的健康结局和生活质量。</w:t>
      </w:r>
    </w:p>
    <w:p w14:paraId="4684DA11">
      <w:pPr>
        <w:numPr>
          <w:ilvl w:val="0"/>
          <w:numId w:val="1"/>
        </w:num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早产儿健康管理现状分析。</w:t>
      </w:r>
    </w:p>
    <w:p w14:paraId="29D2AC8A">
      <w:pPr>
        <w:spacing w:line="560" w:lineRule="exact"/>
        <w:ind w:firstLine="42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分析当前早产儿从住院到出院后健康管理的现状，重点关注以下方面：</w:t>
      </w:r>
    </w:p>
    <w:p w14:paraId="7AEF6880">
      <w:pPr>
        <w:numPr>
          <w:ilvl w:val="0"/>
          <w:numId w:val="2"/>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早产儿住院阶段的家庭参与度现状，包括家长宣教和护理协作情况；</w:t>
      </w:r>
    </w:p>
    <w:p w14:paraId="7CD3BDB3">
      <w:pPr>
        <w:numPr>
          <w:ilvl w:val="0"/>
          <w:numId w:val="2"/>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早产儿出院后的随访规范实施情况；</w:t>
      </w:r>
    </w:p>
    <w:p w14:paraId="5CCC9DAA">
      <w:pPr>
        <w:numPr>
          <w:ilvl w:val="0"/>
          <w:numId w:val="2"/>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家庭喂养指导和早期发育促进与干预现状；</w:t>
      </w:r>
    </w:p>
    <w:p w14:paraId="51981D7A">
      <w:pPr>
        <w:numPr>
          <w:ilvl w:val="0"/>
          <w:numId w:val="2"/>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当前健康管理中存在的主要挑战和资源配置问题。</w:t>
      </w:r>
    </w:p>
    <w:p w14:paraId="3868B17D">
      <w:pPr>
        <w:numPr>
          <w:ilvl w:val="0"/>
          <w:numId w:val="1"/>
        </w:num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构建新型健康管理模式。</w:t>
      </w:r>
    </w:p>
    <w:p w14:paraId="276558B6">
      <w:pPr>
        <w:numPr>
          <w:ilvl w:val="0"/>
          <w:numId w:val="3"/>
        </w:numPr>
        <w:tabs>
          <w:tab w:val="left" w:pos="420"/>
          <w:tab w:val="clear" w:pos="840"/>
        </w:tabs>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t>构建基于"生命历程健康发展"（LCHD）和"家庭参与式护理"（FCC）理论的健康管理模式：</w:t>
      </w:r>
    </w:p>
    <w:p w14:paraId="50C96414">
      <w:pPr>
        <w:numPr>
          <w:ilvl w:val="0"/>
          <w:numId w:val="4"/>
        </w:numPr>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t>强化家长在早产儿护理中的主动参与；</w:t>
      </w:r>
    </w:p>
    <w:p w14:paraId="2822DAD0">
      <w:pPr>
        <w:numPr>
          <w:ilvl w:val="0"/>
          <w:numId w:val="4"/>
        </w:numPr>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t>利用智能随访平台，提供个性化护理方案；</w:t>
      </w:r>
    </w:p>
    <w:p w14:paraId="121BD5B3">
      <w:pPr>
        <w:numPr>
          <w:ilvl w:val="0"/>
          <w:numId w:val="4"/>
        </w:numPr>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t>通过多学科团队协作，实现全面健康管理。</w:t>
      </w:r>
    </w:p>
    <w:p w14:paraId="37D25F3B">
      <w:pPr>
        <w:numPr>
          <w:ilvl w:val="0"/>
          <w:numId w:val="3"/>
        </w:numPr>
        <w:tabs>
          <w:tab w:val="left" w:pos="420"/>
          <w:tab w:val="clear" w:pos="840"/>
        </w:tabs>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t>在研究过程中，通过干预措施的实施和效果验证，不断优化管理模式。</w:t>
      </w:r>
    </w:p>
    <w:p w14:paraId="1BA3FE6D">
      <w:pPr>
        <w:pStyle w:val="2"/>
        <w:keepNext w:val="0"/>
        <w:keepLines w:val="0"/>
        <w:numPr>
          <w:ilvl w:val="0"/>
          <w:numId w:val="1"/>
        </w:numPr>
        <w:spacing w:before="0" w:after="0" w:line="560" w:lineRule="exact"/>
        <w:ind w:firstLine="643" w:firstLineChars="200"/>
        <w:rPr>
          <w:rFonts w:ascii="仿宋_GB2312" w:hAnsi="Times New Roman" w:eastAsia="仿宋_GB2312"/>
          <w:bCs w:val="0"/>
        </w:rPr>
      </w:pPr>
      <w:r>
        <w:rPr>
          <w:rFonts w:hint="eastAsia" w:ascii="仿宋_GB2312" w:hAnsi="Times New Roman" w:eastAsia="仿宋_GB2312"/>
          <w:bCs w:val="0"/>
        </w:rPr>
        <w:t>跟踪研究关键健康指标。</w:t>
      </w:r>
    </w:p>
    <w:p w14:paraId="501BF26F">
      <w:pPr>
        <w:numPr>
          <w:ilvl w:val="0"/>
          <w:numId w:val="5"/>
        </w:numPr>
        <w:tabs>
          <w:tab w:val="left" w:pos="420"/>
          <w:tab w:val="clear" w:pos="840"/>
        </w:tabs>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针对矫正月龄0-24个月的早产儿，研究新模式下的关键指标变化，包括：</w:t>
      </w:r>
    </w:p>
    <w:p w14:paraId="61C11667">
      <w:pPr>
        <w:numPr>
          <w:ilvl w:val="0"/>
          <w:numId w:val="4"/>
        </w:numPr>
        <w:spacing w:line="560" w:lineRule="exac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规范随访率；</w:t>
      </w:r>
    </w:p>
    <w:p w14:paraId="4864A3E4">
      <w:pPr>
        <w:numPr>
          <w:ilvl w:val="0"/>
          <w:numId w:val="4"/>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疾病转归及预后远期影响</w:t>
      </w:r>
    </w:p>
    <w:p w14:paraId="42D7A504">
      <w:pPr>
        <w:numPr>
          <w:ilvl w:val="0"/>
          <w:numId w:val="4"/>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体格发育指标（如体重、身高、头围）；</w:t>
      </w:r>
    </w:p>
    <w:p w14:paraId="7B3943D5">
      <w:pPr>
        <w:numPr>
          <w:ilvl w:val="0"/>
          <w:numId w:val="4"/>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神经心理行为发育指标；</w:t>
      </w:r>
    </w:p>
    <w:p w14:paraId="65AA569B">
      <w:pPr>
        <w:numPr>
          <w:ilvl w:val="0"/>
          <w:numId w:val="4"/>
        </w:num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家长满意度。</w:t>
      </w:r>
    </w:p>
    <w:p w14:paraId="312908FB">
      <w:pPr>
        <w:numPr>
          <w:ilvl w:val="0"/>
          <w:numId w:val="5"/>
        </w:numPr>
        <w:tabs>
          <w:tab w:val="left" w:pos="420"/>
          <w:tab w:val="clear" w:pos="840"/>
        </w:tabs>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收集并分析多维健康数据，结合人工智能技术构建早产儿健康发展预测模型，为精准干预提供决策支持。</w:t>
      </w:r>
    </w:p>
    <w:p w14:paraId="2773790E">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三、项目技术要求</w:t>
      </w:r>
    </w:p>
    <w:p w14:paraId="16676712">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14:paraId="556A585D">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（二）研究过程中应当进行深入调查研究，充分把握国内早产儿健康管理资源的现有基础、国内外先进国家和地区早产儿长期跟踪管理情况等相关信息和基础资料。</w:t>
      </w:r>
    </w:p>
    <w:p w14:paraId="4B38E4EB">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（三）研究成果要围绕“发现问题”、“提出方案”、“总结经验”三个层次；具有系统性，研究成果要体系完整、内容全面、材料丰富；具有实用性，研究成果符合国内实际，针对性和可操作性强。</w:t>
      </w:r>
    </w:p>
    <w:p w14:paraId="3C1AD24D">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四、项目成果交付要求</w:t>
      </w:r>
    </w:p>
    <w:p w14:paraId="7E5CE2C1">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提交研究成果纸质版</w:t>
      </w:r>
      <w:r>
        <w:rPr>
          <w:rFonts w:ascii="仿宋_GB2312" w:hAnsi="Times New Roman" w:eastAsia="仿宋_GB2312"/>
          <w:b w:val="0"/>
        </w:rPr>
        <w:t>2</w:t>
      </w:r>
      <w:r>
        <w:rPr>
          <w:rFonts w:hint="eastAsia" w:ascii="仿宋_GB2312" w:hAnsi="Times New Roman" w:eastAsia="仿宋_GB2312"/>
          <w:b w:val="0"/>
        </w:rPr>
        <w:t>份和电子版，文件能够简明扼要介绍成果核心内容与主要结论。</w:t>
      </w:r>
    </w:p>
    <w:p w14:paraId="646B0B65">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五、申请资格要求</w:t>
      </w:r>
    </w:p>
    <w:p w14:paraId="093E789E">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（一）合法成立且有效存在的京津冀地区三甲医院。</w:t>
      </w:r>
    </w:p>
    <w:p w14:paraId="1482B4CE">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（二）申请人必须具备相关工作范围，具备开展本项目研究的基本条件和研究能力。</w:t>
      </w:r>
    </w:p>
    <w:p w14:paraId="7B86883A">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（三）申请人在过往三年里，早产儿出院数量不少于</w:t>
      </w:r>
      <w:r>
        <w:rPr>
          <w:rFonts w:ascii="仿宋_GB2312" w:hAnsi="Times New Roman" w:eastAsia="仿宋_GB2312"/>
          <w:b w:val="0"/>
        </w:rPr>
        <w:t>100</w:t>
      </w:r>
      <w:r>
        <w:rPr>
          <w:rFonts w:hint="eastAsia" w:ascii="仿宋_GB2312" w:hAnsi="Times New Roman" w:eastAsia="仿宋_GB2312"/>
          <w:b w:val="0"/>
        </w:rPr>
        <w:t>例</w:t>
      </w:r>
      <w:r>
        <w:rPr>
          <w:rFonts w:ascii="仿宋_GB2312" w:hAnsi="Times New Roman" w:eastAsia="仿宋_GB2312"/>
          <w:b w:val="0"/>
        </w:rPr>
        <w:t>。</w:t>
      </w:r>
    </w:p>
    <w:p w14:paraId="59B0B284">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六、申请时间、方式及联系人</w:t>
      </w:r>
    </w:p>
    <w:p w14:paraId="0D97EF1D">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（一）申请时间：</w:t>
      </w:r>
      <w:r>
        <w:rPr>
          <w:rFonts w:ascii="仿宋_GB2312" w:hAnsi="Times New Roman" w:eastAsia="仿宋_GB2312"/>
          <w:b w:val="0"/>
        </w:rPr>
        <w:t>202</w:t>
      </w:r>
      <w:r>
        <w:rPr>
          <w:rFonts w:hint="eastAsia" w:ascii="仿宋_GB2312" w:hAnsi="Times New Roman" w:eastAsia="仿宋_GB2312"/>
          <w:b w:val="0"/>
        </w:rPr>
        <w:t>5</w:t>
      </w:r>
      <w:r>
        <w:rPr>
          <w:rFonts w:ascii="仿宋_GB2312" w:hAnsi="Times New Roman" w:eastAsia="仿宋_GB2312"/>
          <w:b w:val="0"/>
        </w:rPr>
        <w:t>年</w:t>
      </w:r>
      <w:r>
        <w:rPr>
          <w:rFonts w:hint="eastAsia" w:ascii="仿宋_GB2312" w:hAnsi="Times New Roman" w:eastAsia="仿宋_GB2312"/>
          <w:b w:val="0"/>
        </w:rPr>
        <w:t>1月16日至</w:t>
      </w:r>
      <w:r>
        <w:rPr>
          <w:rFonts w:ascii="仿宋_GB2312" w:hAnsi="Times New Roman" w:eastAsia="仿宋_GB2312"/>
          <w:b w:val="0"/>
        </w:rPr>
        <w:t>202</w:t>
      </w:r>
      <w:r>
        <w:rPr>
          <w:rFonts w:hint="eastAsia" w:ascii="仿宋_GB2312" w:hAnsi="Times New Roman" w:eastAsia="仿宋_GB2312"/>
          <w:b w:val="0"/>
        </w:rPr>
        <w:t>5</w:t>
      </w:r>
      <w:r>
        <w:rPr>
          <w:rFonts w:ascii="仿宋_GB2312" w:hAnsi="Times New Roman" w:eastAsia="仿宋_GB2312"/>
          <w:b w:val="0"/>
        </w:rPr>
        <w:t>年</w:t>
      </w:r>
      <w:r>
        <w:rPr>
          <w:rFonts w:hint="eastAsia" w:ascii="仿宋_GB2312" w:hAnsi="Times New Roman" w:eastAsia="仿宋_GB2312"/>
          <w:b w:val="0"/>
        </w:rPr>
        <w:t>1月26日，每日上午</w:t>
      </w:r>
      <w:r>
        <w:rPr>
          <w:rFonts w:ascii="仿宋_GB2312" w:hAnsi="Times New Roman" w:eastAsia="仿宋_GB2312"/>
          <w:b w:val="0"/>
        </w:rPr>
        <w:t>9:00-12:00，下午2:00-5:45（节假日除外）。逾期未申请将不再受理。</w:t>
      </w:r>
    </w:p>
    <w:p w14:paraId="57D2A64D">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w:t>
      </w:r>
      <w:r>
        <w:rPr>
          <w:rFonts w:ascii="仿宋_GB2312" w:hAnsi="Times New Roman" w:eastAsia="仿宋_GB2312"/>
          <w:b w:val="0"/>
        </w:rPr>
        <w:t>申请</w:t>
      </w:r>
      <w:r>
        <w:rPr>
          <w:rFonts w:hint="eastAsia" w:ascii="仿宋_GB2312" w:hAnsi="Times New Roman" w:eastAsia="仿宋_GB2312"/>
          <w:b w:val="0"/>
        </w:rPr>
        <w:t xml:space="preserve">地点：北京市西城区西直门西环广场A座11A3 </w:t>
      </w:r>
      <w:r>
        <w:rPr>
          <w:rFonts w:ascii="仿宋_GB2312" w:hAnsi="Times New Roman" w:eastAsia="仿宋_GB2312"/>
          <w:b w:val="0"/>
        </w:rPr>
        <w:t>（可邮寄，以送达日期为申请日期）。</w:t>
      </w:r>
    </w:p>
    <w:p w14:paraId="70441260">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（三）联系人：白雪峰，</w:t>
      </w:r>
      <w:r>
        <w:rPr>
          <w:rFonts w:ascii="仿宋_GB2312" w:hAnsi="Times New Roman" w:eastAsia="仿宋_GB2312"/>
          <w:b w:val="0"/>
        </w:rPr>
        <w:t>010-xxxxxxxx</w:t>
      </w:r>
      <w:r>
        <w:rPr>
          <w:rFonts w:hint="eastAsia" w:ascii="仿宋_GB2312" w:hAnsi="Times New Roman" w:eastAsia="仿宋_GB2312"/>
          <w:b w:val="0"/>
        </w:rPr>
        <w:t>。</w:t>
      </w:r>
    </w:p>
    <w:p w14:paraId="1DC7D05C">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申请</w:t>
      </w:r>
      <w:r>
        <w:rPr>
          <w:rFonts w:hint="eastAsia" w:ascii="黑体" w:hAnsi="黑体" w:eastAsia="黑体"/>
          <w:sz w:val="32"/>
          <w:szCs w:val="32"/>
        </w:rPr>
        <w:t>文件递交内容</w:t>
      </w:r>
    </w:p>
    <w:p w14:paraId="70038670">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申请</w:t>
      </w:r>
      <w:r>
        <w:rPr>
          <w:rFonts w:hint="eastAsia" w:ascii="仿宋" w:hAnsi="仿宋" w:eastAsia="仿宋" w:cs="仿宋_GB2312"/>
          <w:sz w:val="32"/>
          <w:szCs w:val="32"/>
        </w:rPr>
        <w:t>单位简介。</w:t>
      </w:r>
    </w:p>
    <w:p w14:paraId="3A235BC0">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（二）项目申请书。</w:t>
      </w:r>
    </w:p>
    <w:p w14:paraId="69C7FC66">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申请</w:t>
      </w:r>
      <w:r>
        <w:rPr>
          <w:rFonts w:hint="eastAsia" w:ascii="仿宋" w:hAnsi="仿宋" w:eastAsia="仿宋" w:cs="仿宋_GB2312"/>
          <w:sz w:val="32"/>
          <w:szCs w:val="32"/>
        </w:rPr>
        <w:t>人认为有必要提供的其它材料。</w:t>
      </w:r>
    </w:p>
    <w:p w14:paraId="522C1AF9">
      <w:pPr>
        <w:adjustRightInd w:val="0"/>
        <w:snapToGrid w:val="0"/>
        <w:spacing w:line="560" w:lineRule="exact"/>
        <w:ind w:firstLine="640" w:firstLineChars="200"/>
        <w:outlineLvl w:val="0"/>
        <w:rPr>
          <w:rFonts w:ascii="仿宋" w:hAnsi="仿宋" w:eastAsia="仿宋" w:cs="仿宋_GB2312"/>
          <w:sz w:val="32"/>
          <w:szCs w:val="32"/>
        </w:rPr>
      </w:pPr>
      <w:r>
        <w:rPr>
          <w:rFonts w:ascii="仿宋" w:hAnsi="仿宋" w:eastAsia="仿宋" w:cs="仿宋_GB2312"/>
          <w:sz w:val="32"/>
          <w:szCs w:val="32"/>
        </w:rPr>
        <w:t>申请</w:t>
      </w:r>
      <w:r>
        <w:rPr>
          <w:rFonts w:hint="eastAsia" w:ascii="仿宋" w:hAnsi="仿宋" w:eastAsia="仿宋" w:cs="仿宋_GB2312"/>
          <w:sz w:val="32"/>
          <w:szCs w:val="32"/>
        </w:rPr>
        <w:t>文件一式三份，封面注明</w:t>
      </w:r>
      <w:r>
        <w:rPr>
          <w:rFonts w:ascii="仿宋" w:hAnsi="仿宋" w:eastAsia="仿宋" w:cs="仿宋_GB2312"/>
          <w:sz w:val="32"/>
          <w:szCs w:val="32"/>
        </w:rPr>
        <w:t>申请</w:t>
      </w:r>
      <w:r>
        <w:rPr>
          <w:rFonts w:hint="eastAsia" w:ascii="仿宋" w:hAnsi="仿宋" w:eastAsia="仿宋" w:cs="仿宋_GB2312"/>
          <w:sz w:val="32"/>
          <w:szCs w:val="32"/>
        </w:rPr>
        <w:t>人的名称、地址、联系人及手机号码。</w:t>
      </w:r>
    </w:p>
    <w:p w14:paraId="46346C2E">
      <w:pPr>
        <w:adjustRightInd w:val="0"/>
        <w:snapToGrid w:val="0"/>
        <w:spacing w:line="560" w:lineRule="exact"/>
        <w:ind w:firstLine="640" w:firstLineChars="200"/>
        <w:outlineLvl w:val="0"/>
        <w:rPr>
          <w:rFonts w:ascii="仿宋" w:hAnsi="仿宋" w:eastAsia="仿宋" w:cs="仿宋_GB2312"/>
          <w:sz w:val="32"/>
          <w:szCs w:val="32"/>
        </w:rPr>
      </w:pPr>
    </w:p>
    <w:p w14:paraId="4BD68F52">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附件：《项目申请书》模板</w:t>
      </w:r>
    </w:p>
    <w:p w14:paraId="4DAC69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黑体"/>
    <w:panose1 w:val="00000000000000000000"/>
    <w:charset w:val="00"/>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72DAA"/>
    <w:multiLevelType w:val="singleLevel"/>
    <w:tmpl w:val="AF572DAA"/>
    <w:lvl w:ilvl="0" w:tentative="0">
      <w:start w:val="1"/>
      <w:numFmt w:val="decimal"/>
      <w:lvlText w:val="%1."/>
      <w:lvlJc w:val="left"/>
      <w:pPr>
        <w:tabs>
          <w:tab w:val="left" w:pos="840"/>
        </w:tabs>
        <w:ind w:left="1265" w:hanging="425"/>
      </w:pPr>
      <w:rPr>
        <w:rFonts w:hint="default"/>
      </w:rPr>
    </w:lvl>
  </w:abstractNum>
  <w:abstractNum w:abstractNumId="1">
    <w:nsid w:val="EB372919"/>
    <w:multiLevelType w:val="singleLevel"/>
    <w:tmpl w:val="EB372919"/>
    <w:lvl w:ilvl="0" w:tentative="0">
      <w:start w:val="1"/>
      <w:numFmt w:val="decimal"/>
      <w:lvlText w:val="%1."/>
      <w:lvlJc w:val="left"/>
      <w:pPr>
        <w:tabs>
          <w:tab w:val="left" w:pos="840"/>
        </w:tabs>
        <w:ind w:left="1265" w:hanging="425"/>
      </w:pPr>
      <w:rPr>
        <w:rFonts w:hint="default"/>
      </w:rPr>
    </w:lvl>
  </w:abstractNum>
  <w:abstractNum w:abstractNumId="2">
    <w:nsid w:val="EE9F29E7"/>
    <w:multiLevelType w:val="singleLevel"/>
    <w:tmpl w:val="EE9F29E7"/>
    <w:lvl w:ilvl="0" w:tentative="0">
      <w:start w:val="1"/>
      <w:numFmt w:val="decimal"/>
      <w:lvlText w:val="%1."/>
      <w:lvlJc w:val="left"/>
      <w:pPr>
        <w:tabs>
          <w:tab w:val="left" w:pos="420"/>
        </w:tabs>
        <w:ind w:left="845" w:hanging="425"/>
      </w:pPr>
      <w:rPr>
        <w:rFonts w:hint="default"/>
      </w:rPr>
    </w:lvl>
  </w:abstractNum>
  <w:abstractNum w:abstractNumId="3">
    <w:nsid w:val="FBFF419F"/>
    <w:multiLevelType w:val="singleLevel"/>
    <w:tmpl w:val="FBFF419F"/>
    <w:lvl w:ilvl="0" w:tentative="0">
      <w:start w:val="1"/>
      <w:numFmt w:val="bullet"/>
      <w:lvlText w:val=""/>
      <w:lvlJc w:val="left"/>
      <w:pPr>
        <w:tabs>
          <w:tab w:val="left" w:pos="1260"/>
        </w:tabs>
        <w:ind w:left="1680" w:hanging="420"/>
      </w:pPr>
      <w:rPr>
        <w:rFonts w:hint="default" w:ascii="Wingdings" w:hAnsi="Wingdings"/>
        <w:sz w:val="16"/>
      </w:rPr>
    </w:lvl>
  </w:abstractNum>
  <w:abstractNum w:abstractNumId="4">
    <w:nsid w:val="FEDA720B"/>
    <w:multiLevelType w:val="singleLevel"/>
    <w:tmpl w:val="FEDA720B"/>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338DE"/>
    <w:rsid w:val="6EB3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2025-01-10T05:49:00Z</dcterms:created>
  <dc:creator>LUNA</dc:creator>
  <cp:lastModifiedBy>LUNA</cp:lastModifiedBy>
  <dcterms:modified xsi:type="dcterms:W3CDTF">2025-01-10T05:50:24Z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B7FA5EFE84134CEDAA15830F124E9301_11</vt:lpwstr>
  </property>
  <property fmtid="{D5CDD505-2E9C-101B-9397-08002B2CF9AE}" pid="4" name="KSOTemplateDocerSaveRecord">
    <vt:lpwstr>eyJoZGlkIjoiYmQ2ODUzY2M0ODViOTY2M2FmYTE0ZGI4MTQ1NDA0NzQiLCJ1c2VySWQiOiIyODE0ODU3NDUifQ==</vt:lpwstr>
  </property>
</Properties>
</file>